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881E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65C8AE27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5ECE0467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208BD563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2F85F502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4115107D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60265F2E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3B1E4466" w14:textId="77777777" w:rsidR="009F41DE" w:rsidRDefault="009F41DE" w:rsidP="009F41DE">
      <w:pPr>
        <w:rPr>
          <w:rFonts w:ascii="Garamond" w:hAnsi="Garamond"/>
        </w:rPr>
      </w:pPr>
    </w:p>
    <w:p w14:paraId="1332CAFC" w14:textId="77777777" w:rsidR="009F41DE" w:rsidRDefault="009F41DE" w:rsidP="009F41DE">
      <w:pPr>
        <w:rPr>
          <w:rFonts w:ascii="Garamond" w:hAnsi="Garamond"/>
        </w:rPr>
      </w:pPr>
    </w:p>
    <w:p w14:paraId="1EA1D56E" w14:textId="77777777" w:rsidR="009F41DE" w:rsidRDefault="009F41DE" w:rsidP="009F41DE">
      <w:pPr>
        <w:rPr>
          <w:rFonts w:ascii="Garamond" w:hAnsi="Garamond"/>
        </w:rPr>
      </w:pPr>
    </w:p>
    <w:p w14:paraId="4185930F" w14:textId="77777777" w:rsidR="00F33EC1" w:rsidRDefault="00F33EC1" w:rsidP="00F33EC1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ISTITUTO :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3C6785D5" w14:textId="77777777" w:rsidR="004630E1" w:rsidRDefault="004630E1" w:rsidP="004630E1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INDIRIZZO: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</w:t>
      </w:r>
      <w:r>
        <w:rPr>
          <w:rFonts w:ascii="Garamond" w:hAnsi="Garamond"/>
          <w:b/>
          <w:smallCaps/>
          <w:color w:val="002060"/>
        </w:rPr>
        <w:t>Trasporti e Logistica</w:t>
      </w:r>
    </w:p>
    <w:p w14:paraId="6A861EFB" w14:textId="77777777" w:rsidR="004630E1" w:rsidRDefault="004630E1" w:rsidP="004630E1">
      <w:pPr>
        <w:spacing w:before="60" w:after="60"/>
        <w:rPr>
          <w:rFonts w:ascii="Garamond" w:hAnsi="Garamond"/>
          <w:b/>
          <w:smallCaps/>
          <w:color w:val="002060"/>
        </w:rPr>
      </w:pPr>
      <w:r>
        <w:rPr>
          <w:rFonts w:ascii="Garamond" w:hAnsi="Garamond"/>
        </w:rPr>
        <w:t>ARTICOLAZIONE: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  <w:r>
        <w:rPr>
          <w:rFonts w:ascii="Garamond" w:hAnsi="Garamond"/>
          <w:b/>
          <w:smallCaps/>
          <w:color w:val="002060"/>
          <w:sz w:val="28"/>
          <w:szCs w:val="28"/>
        </w:rPr>
        <w:t>logistica</w:t>
      </w:r>
    </w:p>
    <w:p w14:paraId="365F84E3" w14:textId="77777777" w:rsidR="004630E1" w:rsidRDefault="004630E1" w:rsidP="004630E1">
      <w:pPr>
        <w:spacing w:before="60" w:after="60"/>
        <w:rPr>
          <w:rFonts w:ascii="Garamond" w:hAnsi="Garamond"/>
          <w:b/>
          <w:smallCaps/>
          <w:color w:val="002060"/>
        </w:rPr>
      </w:pPr>
      <w:r>
        <w:rPr>
          <w:rFonts w:ascii="Garamond" w:hAnsi="Garamond"/>
        </w:rPr>
        <w:t>OPZIONE: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</w:p>
    <w:p w14:paraId="0979BC0E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</w:p>
    <w:p w14:paraId="1E30126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53F689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9C3AE7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708C85C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9F55000" w14:textId="77777777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330B041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8A7C18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6B7A76A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2E9E6BC5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0E992B6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521CE4E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1CF4444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1ED202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0F669E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848B90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8EFF92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936D17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70EC33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62ACB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0884BE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7D5E1C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3441E0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74016D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0B8B6A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94339B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30B268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DD1260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BAE0FAE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F9C2E00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159D7AC9" w14:textId="77777777" w:rsidR="009F41DE" w:rsidRDefault="009F41DE" w:rsidP="009F41DE">
      <w:pPr>
        <w:rPr>
          <w:rFonts w:ascii="Garamond" w:hAnsi="Garamond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7619"/>
      </w:tblGrid>
      <w:tr w:rsidR="00CE7750" w:rsidRPr="00CE7750" w14:paraId="5E11F9D2" w14:textId="77777777" w:rsidTr="00660AF0">
        <w:tc>
          <w:tcPr>
            <w:tcW w:w="12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57C411E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ADAFC69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Tavola delle Competenze previste dalla Regola A-II/1 – STCW 95 Amended Manila 2010</w:t>
            </w:r>
          </w:p>
        </w:tc>
      </w:tr>
      <w:tr w:rsidR="00CE7750" w:rsidRPr="00CE7750" w14:paraId="358E6399" w14:textId="77777777" w:rsidTr="00660AF0">
        <w:trPr>
          <w:trHeight w:val="424"/>
        </w:trPr>
        <w:tc>
          <w:tcPr>
            <w:tcW w:w="1242" w:type="dxa"/>
            <w:shd w:val="clear" w:color="auto" w:fill="D3DFEE"/>
          </w:tcPr>
          <w:p w14:paraId="72A9D789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Funzione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78BE9256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Competenza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4200D8E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Descrizione</w:t>
            </w:r>
          </w:p>
        </w:tc>
      </w:tr>
      <w:tr w:rsidR="00CE7750" w:rsidRPr="00CE7750" w14:paraId="0540BA8D" w14:textId="77777777" w:rsidTr="00660AF0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328FAF36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Navigazione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18129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504D3DD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Pianifica e dirige una traversata e determina la posizione</w:t>
            </w:r>
          </w:p>
        </w:tc>
      </w:tr>
      <w:tr w:rsidR="00CE7750" w:rsidRPr="00CE7750" w14:paraId="581000E0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1F4170F7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C9780FC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4B3C0170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Mantiene una sicura guardia di navigazione</w:t>
            </w:r>
          </w:p>
        </w:tc>
      </w:tr>
      <w:tr w:rsidR="00CE7750" w:rsidRPr="00CE7750" w14:paraId="48E5416D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78FE6D62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B74AE7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9C154F6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 radar e ARPA per mantenere la sicurezza della navigazione</w:t>
            </w:r>
          </w:p>
        </w:tc>
      </w:tr>
      <w:tr w:rsidR="00CE7750" w:rsidRPr="00CE7750" w14:paraId="7D91CB97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1E0BC732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44E57F6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355CC77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dell’ECDIS per mantenere la sicurezza della navigazione</w:t>
            </w:r>
          </w:p>
        </w:tc>
      </w:tr>
      <w:tr w:rsidR="00CE7750" w:rsidRPr="00CE7750" w14:paraId="04FBA3DF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5D3C624E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942D50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F9B543D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alle emergenze</w:t>
            </w:r>
          </w:p>
        </w:tc>
      </w:tr>
      <w:tr w:rsidR="00CE7750" w:rsidRPr="00CE7750" w14:paraId="5A4003AF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44CA514B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09D7554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53AACB24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 un segnale di pericolo in mare</w:t>
            </w:r>
          </w:p>
        </w:tc>
      </w:tr>
      <w:tr w:rsidR="00CE7750" w:rsidRPr="00CE7750" w14:paraId="46FCEFF7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64DA4815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0C42F8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271E8CD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Usa l’IMO Standard Marine Communication Phrases e usa l’Inglese nella forma scritta e orale</w:t>
            </w:r>
          </w:p>
        </w:tc>
      </w:tr>
      <w:tr w:rsidR="00CE7750" w:rsidRPr="00CE7750" w14:paraId="3E319B64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708EBB5B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EB69017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2CC289EA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Trasmette e riceve informazioni mediante segnali ottici</w:t>
            </w:r>
          </w:p>
        </w:tc>
      </w:tr>
      <w:tr w:rsidR="00CE7750" w:rsidRPr="00CE7750" w14:paraId="12BF8220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10232CD0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7AE71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IX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600AB7B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Manovra la nave</w:t>
            </w:r>
          </w:p>
        </w:tc>
      </w:tr>
      <w:tr w:rsidR="00CE7750" w:rsidRPr="00CE7750" w14:paraId="6CA2057E" w14:textId="77777777" w:rsidTr="00660AF0">
        <w:tc>
          <w:tcPr>
            <w:tcW w:w="1242" w:type="dxa"/>
            <w:vMerge w:val="restart"/>
            <w:shd w:val="clear" w:color="auto" w:fill="D3DFEE"/>
            <w:textDirection w:val="btLr"/>
            <w:vAlign w:val="center"/>
          </w:tcPr>
          <w:p w14:paraId="57EFC397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sz w:val="20"/>
                <w:szCs w:val="20"/>
                <w:lang w:eastAsia="ar-SA"/>
              </w:rPr>
              <w:t>Maneggio e stivaggio del carico a livello operativo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242F5A03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479CFCFB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Monitora la caricazione, lo stivaggio, il rizzaggio, cura durante il viaggio e sbarco del carico</w:t>
            </w:r>
          </w:p>
        </w:tc>
      </w:tr>
      <w:tr w:rsidR="00660AF0" w:rsidRPr="00CE7750" w14:paraId="3C925DAA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1EB9AA96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D2010D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A7F3148" w14:textId="5902D8EE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Ispeziona e riferisce i difetti e i danni agli spazi di carico, boccaporte e casse di zavorra</w:t>
            </w:r>
          </w:p>
        </w:tc>
      </w:tr>
      <w:tr w:rsidR="00660AF0" w:rsidRPr="00CE7750" w14:paraId="58A01AAE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562019AC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885D04D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094D445" w14:textId="5D490284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Assicura la conformità con i requisiti della prevenzione dell’inquinamento</w:t>
            </w:r>
          </w:p>
        </w:tc>
      </w:tr>
      <w:tr w:rsidR="00660AF0" w:rsidRPr="00CE7750" w14:paraId="3182651B" w14:textId="77777777" w:rsidTr="00660AF0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112C6738" w14:textId="77777777" w:rsidR="00660AF0" w:rsidRPr="00CE7750" w:rsidRDefault="00660AF0" w:rsidP="00660AF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80994C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385DD2A" w14:textId="54F27CE9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Mantenere le condizioni di navigabilità (seaworthiness) della nave</w:t>
            </w:r>
          </w:p>
        </w:tc>
      </w:tr>
      <w:tr w:rsidR="00660AF0" w:rsidRPr="00CE7750" w14:paraId="125A2BC7" w14:textId="77777777" w:rsidTr="00660AF0">
        <w:tc>
          <w:tcPr>
            <w:tcW w:w="1242" w:type="dxa"/>
            <w:vMerge/>
            <w:shd w:val="clear" w:color="auto" w:fill="D3DFEE"/>
          </w:tcPr>
          <w:p w14:paraId="726D9645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712AD09F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129251D6" w14:textId="75AED341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Previene, controlla e combatte gli incendi a bordo</w:t>
            </w:r>
          </w:p>
        </w:tc>
      </w:tr>
      <w:tr w:rsidR="00660AF0" w:rsidRPr="00CE7750" w14:paraId="4F237CAF" w14:textId="77777777" w:rsidTr="00660AF0">
        <w:tc>
          <w:tcPr>
            <w:tcW w:w="1242" w:type="dxa"/>
            <w:vMerge/>
            <w:shd w:val="clear" w:color="auto" w:fill="auto"/>
          </w:tcPr>
          <w:p w14:paraId="284E2B24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D9C03F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11B10542" w14:textId="4EEB51EF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Aziona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(operate)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i mezzi di salvataggio</w:t>
            </w:r>
          </w:p>
        </w:tc>
      </w:tr>
      <w:tr w:rsidR="00660AF0" w:rsidRPr="00CE7750" w14:paraId="21666708" w14:textId="77777777" w:rsidTr="00660AF0">
        <w:tc>
          <w:tcPr>
            <w:tcW w:w="1242" w:type="dxa"/>
            <w:vMerge/>
            <w:shd w:val="clear" w:color="auto" w:fill="D3DFEE"/>
          </w:tcPr>
          <w:p w14:paraId="1F7318E6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1D8EE26F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D917C9E" w14:textId="34B31844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Applica il pronto soccorso sanitario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(medical first aid)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a bordo della nave</w:t>
            </w:r>
          </w:p>
        </w:tc>
      </w:tr>
      <w:tr w:rsidR="00660AF0" w:rsidRPr="00CE7750" w14:paraId="21C292AA" w14:textId="77777777" w:rsidTr="00660AF0">
        <w:tc>
          <w:tcPr>
            <w:tcW w:w="1242" w:type="dxa"/>
            <w:vMerge/>
            <w:shd w:val="clear" w:color="auto" w:fill="auto"/>
          </w:tcPr>
          <w:p w14:paraId="708B6922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4D2547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D9BEC3C" w14:textId="55B6A565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Controlla la conformità con i requisiti legislativi</w:t>
            </w:r>
          </w:p>
        </w:tc>
      </w:tr>
      <w:tr w:rsidR="00660AF0" w:rsidRPr="00CE7750" w14:paraId="314A7BFA" w14:textId="77777777" w:rsidTr="00660AF0">
        <w:tc>
          <w:tcPr>
            <w:tcW w:w="1242" w:type="dxa"/>
            <w:vMerge/>
            <w:shd w:val="clear" w:color="auto" w:fill="D3DFEE"/>
          </w:tcPr>
          <w:p w14:paraId="40814791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3AA36E47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ACA6326" w14:textId="5AF3F279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Applicazione delle abilità (skills) di comando (leadership) e lavoro di squadra (team working)</w:t>
            </w:r>
          </w:p>
        </w:tc>
      </w:tr>
      <w:tr w:rsidR="00660AF0" w:rsidRPr="00CE7750" w14:paraId="29EE7A91" w14:textId="77777777" w:rsidTr="00660AF0">
        <w:tc>
          <w:tcPr>
            <w:tcW w:w="1242" w:type="dxa"/>
            <w:vMerge/>
            <w:shd w:val="clear" w:color="auto" w:fill="auto"/>
          </w:tcPr>
          <w:p w14:paraId="1182F120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692127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XIX</w:t>
            </w:r>
          </w:p>
        </w:tc>
        <w:tc>
          <w:tcPr>
            <w:tcW w:w="7619" w:type="dxa"/>
            <w:tcBorders>
              <w:bottom w:val="single" w:sz="8" w:space="0" w:color="808080"/>
            </w:tcBorders>
            <w:shd w:val="clear" w:color="auto" w:fill="D3DFEE"/>
            <w:vAlign w:val="center"/>
          </w:tcPr>
          <w:p w14:paraId="4729CEC7" w14:textId="5BAA038B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Contribuisce alla sicurezza del personale e della nave</w:t>
            </w:r>
          </w:p>
        </w:tc>
      </w:tr>
    </w:tbl>
    <w:p w14:paraId="5B7F00EE" w14:textId="77777777" w:rsidR="009F41DE" w:rsidRDefault="009F41DE" w:rsidP="009F41DE">
      <w:pPr>
        <w:rPr>
          <w:rFonts w:ascii="Garamond" w:hAnsi="Garamond"/>
        </w:rPr>
      </w:pPr>
    </w:p>
    <w:p w14:paraId="32538DF8" w14:textId="77777777" w:rsidR="009F41DE" w:rsidRDefault="009F41DE" w:rsidP="009F41DE">
      <w:pPr>
        <w:rPr>
          <w:rFonts w:ascii="Garamond" w:hAnsi="Garamond"/>
        </w:rPr>
      </w:pPr>
    </w:p>
    <w:p w14:paraId="4A7A1EF6" w14:textId="77777777" w:rsidR="00112AE1" w:rsidRDefault="00112AE1" w:rsidP="009F41DE">
      <w:pPr>
        <w:rPr>
          <w:rFonts w:ascii="Garamond" w:hAnsi="Garamond"/>
        </w:rPr>
      </w:pPr>
    </w:p>
    <w:p w14:paraId="4A02A23A" w14:textId="77777777" w:rsidR="00112AE1" w:rsidRDefault="00112AE1" w:rsidP="009F41DE">
      <w:pPr>
        <w:rPr>
          <w:rFonts w:ascii="Garamond" w:hAnsi="Garamond"/>
        </w:rPr>
      </w:pPr>
    </w:p>
    <w:p w14:paraId="62166342" w14:textId="77777777" w:rsidR="00112AE1" w:rsidRDefault="00112AE1" w:rsidP="009F41DE">
      <w:pPr>
        <w:rPr>
          <w:rFonts w:ascii="Garamond" w:hAnsi="Garamond"/>
        </w:rPr>
      </w:pPr>
    </w:p>
    <w:p w14:paraId="0FEAD32A" w14:textId="77777777" w:rsidR="00112AE1" w:rsidRDefault="00112AE1" w:rsidP="009F41DE">
      <w:pPr>
        <w:rPr>
          <w:rFonts w:ascii="Garamond" w:hAnsi="Garamond"/>
        </w:rPr>
      </w:pPr>
    </w:p>
    <w:p w14:paraId="3EB3B339" w14:textId="77777777" w:rsidR="00112AE1" w:rsidRDefault="00112AE1" w:rsidP="009F41DE">
      <w:pPr>
        <w:rPr>
          <w:rFonts w:ascii="Garamond" w:hAnsi="Garamond"/>
        </w:rPr>
      </w:pPr>
    </w:p>
    <w:p w14:paraId="0EEF57B2" w14:textId="77777777" w:rsidR="00112AE1" w:rsidRDefault="00112AE1" w:rsidP="009F41DE">
      <w:pPr>
        <w:rPr>
          <w:rFonts w:ascii="Garamond" w:hAnsi="Garamond"/>
        </w:rPr>
      </w:pPr>
    </w:p>
    <w:p w14:paraId="0F03EDCE" w14:textId="77777777" w:rsidR="00112AE1" w:rsidRDefault="00112AE1" w:rsidP="009F41DE">
      <w:pPr>
        <w:rPr>
          <w:rFonts w:ascii="Garamond" w:hAnsi="Garamond"/>
        </w:rPr>
      </w:pPr>
    </w:p>
    <w:p w14:paraId="24C6BCC6" w14:textId="77777777" w:rsidR="00112AE1" w:rsidRDefault="00112AE1" w:rsidP="009F41DE">
      <w:pPr>
        <w:rPr>
          <w:rFonts w:ascii="Garamond" w:hAnsi="Garamond"/>
        </w:rPr>
      </w:pPr>
    </w:p>
    <w:p w14:paraId="7744AF99" w14:textId="77777777" w:rsidR="00112AE1" w:rsidRDefault="00112AE1" w:rsidP="009F41DE">
      <w:pPr>
        <w:rPr>
          <w:rFonts w:ascii="Garamond" w:hAnsi="Garamond"/>
        </w:rPr>
      </w:pPr>
    </w:p>
    <w:p w14:paraId="21117F37" w14:textId="77777777" w:rsidR="00112AE1" w:rsidRDefault="00112AE1" w:rsidP="009F41DE">
      <w:pPr>
        <w:rPr>
          <w:rFonts w:ascii="Garamond" w:hAnsi="Garamond"/>
        </w:rPr>
      </w:pPr>
    </w:p>
    <w:p w14:paraId="374A138F" w14:textId="77777777" w:rsidR="00112AE1" w:rsidRDefault="00112AE1" w:rsidP="009F41DE">
      <w:pPr>
        <w:rPr>
          <w:rFonts w:ascii="Garamond" w:hAnsi="Garamond"/>
        </w:rPr>
      </w:pPr>
    </w:p>
    <w:p w14:paraId="2FDD1FBB" w14:textId="1E2EA595" w:rsidR="00112AE1" w:rsidRDefault="00112AE1" w:rsidP="009F41DE">
      <w:pPr>
        <w:rPr>
          <w:rFonts w:ascii="Garamond" w:hAnsi="Garamond"/>
        </w:rPr>
      </w:pPr>
    </w:p>
    <w:p w14:paraId="7E9310F4" w14:textId="6AFE59F2" w:rsidR="00660AF0" w:rsidRDefault="00660AF0" w:rsidP="009F41DE">
      <w:pPr>
        <w:rPr>
          <w:rFonts w:ascii="Garamond" w:hAnsi="Garamond"/>
        </w:rPr>
      </w:pPr>
    </w:p>
    <w:p w14:paraId="3ACD9C1D" w14:textId="77777777" w:rsidR="00660AF0" w:rsidRDefault="00660AF0" w:rsidP="009F41DE">
      <w:pPr>
        <w:rPr>
          <w:rFonts w:ascii="Garamond" w:hAnsi="Garamond"/>
        </w:rPr>
      </w:pPr>
    </w:p>
    <w:p w14:paraId="5117070C" w14:textId="77777777" w:rsidR="00112AE1" w:rsidRDefault="00112AE1" w:rsidP="009F41DE">
      <w:pPr>
        <w:rPr>
          <w:rFonts w:ascii="Garamond" w:hAnsi="Garamond"/>
        </w:rPr>
      </w:pPr>
    </w:p>
    <w:p w14:paraId="7B764773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112AE1" w14:paraId="2BB1AE85" w14:textId="77777777" w:rsidTr="0031567E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039FFCC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Tavola delle Competenze previste dalla Regola A-III/1 – STCW 95 Amended Manila 2010</w:t>
            </w:r>
          </w:p>
        </w:tc>
      </w:tr>
      <w:tr w:rsidR="00112AE1" w14:paraId="478A0B78" w14:textId="77777777" w:rsidTr="0031567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A80F5B0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205E44D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82E4A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112AE1" w14:paraId="6F080A60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15E6D4A9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9179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B88B2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112AE1" w14:paraId="1DA9B610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2EC6E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3B4ECA3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EE6F74B" w14:textId="77777777" w:rsidR="00112AE1" w:rsidRDefault="00112AE1" w:rsidP="0031567E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112AE1" w14:paraId="5A4508A7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A5809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00B0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45A31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112AE1" w14:paraId="7E550C12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DC71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93A927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0712FBDD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112AE1" w14:paraId="100DD582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D16FC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7928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DC5E5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112AE1" w14:paraId="582222B5" w14:textId="77777777" w:rsidTr="0031567E">
        <w:trPr>
          <w:trHeight w:val="59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7DC4A4AE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Controllo elettrico, elettronico e meccanico a livello oper.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BEE99D9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0B9116BE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112AE1" w14:paraId="31FB02D3" w14:textId="77777777" w:rsidTr="0031567E">
        <w:trPr>
          <w:trHeight w:val="590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A4F9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D66B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B7B0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112AE1" w14:paraId="13727428" w14:textId="77777777" w:rsidTr="0031567E">
        <w:trPr>
          <w:trHeight w:val="497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05A81F50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DC5FE8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FC353CB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112AE1" w14:paraId="15A4476E" w14:textId="77777777" w:rsidTr="0031567E">
        <w:trPr>
          <w:trHeight w:val="497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EDB1B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539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C2F02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112AE1" w14:paraId="3B6C4857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5A55096C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0B57527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00498F2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112AE1" w14:paraId="48706137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2015E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653F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9C14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112AE1" w14:paraId="5BABDCFE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A4E4C6E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8D6DC7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5D3DC00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112AE1" w14:paraId="62B408FC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B49D2D0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96DE7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9DF9A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112AE1" w14:paraId="54451E63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FC99712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3B55A1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F4EFCCD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112AE1" w14:paraId="349AD51F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AAB949A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0D394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1A384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112AE1" w14:paraId="220FC05A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2EEDBC2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0715E9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847B5A1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112AE1" w14:paraId="74236812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152EE86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5955C80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E0A81D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0D5C7473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CE7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851" w:left="1134" w:header="624" w:footer="550" w:gutter="0"/>
          <w:cols w:space="708"/>
          <w:titlePg/>
          <w:docGrid w:linePitch="360"/>
        </w:sectPr>
      </w:pPr>
    </w:p>
    <w:p w14:paraId="2EEC27A3" w14:textId="77777777" w:rsidR="009F41DE" w:rsidRDefault="009F41DE" w:rsidP="009F41DE">
      <w:pPr>
        <w:rPr>
          <w:rFonts w:ascii="Garamond" w:hAnsi="Garamond"/>
          <w:b/>
        </w:rPr>
      </w:pPr>
    </w:p>
    <w:p w14:paraId="34B9531C" w14:textId="77777777" w:rsidR="009F41DE" w:rsidRPr="00B07990" w:rsidRDefault="009F41DE" w:rsidP="009F41DE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 </w:t>
      </w:r>
      <w:r w:rsidRPr="008B179C">
        <w:rPr>
          <w:bCs/>
          <w:sz w:val="16"/>
          <w:szCs w:val="16"/>
        </w:rPr>
        <w:t>(STCW 95 Emended 2010)</w:t>
      </w:r>
      <w:r>
        <w:rPr>
          <w:bCs/>
          <w:sz w:val="16"/>
          <w:szCs w:val="16"/>
        </w:rPr>
        <w:t xml:space="preserve"> – NON Applicabile</w:t>
      </w:r>
    </w:p>
    <w:p w14:paraId="44B62A2B" w14:textId="77777777" w:rsidR="009F41DE" w:rsidRPr="00315B2F" w:rsidRDefault="009F41DE" w:rsidP="009F41DE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9F41DE" w:rsidRPr="00315B2F" w14:paraId="2FE29ABC" w14:textId="77777777" w:rsidTr="00A25BF6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1B7C9B06" w14:textId="77777777" w:rsidR="009F41DE" w:rsidRPr="005269D7" w:rsidRDefault="009F41DE" w:rsidP="00A25BF6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Emended 2010) </w:t>
            </w:r>
          </w:p>
          <w:p w14:paraId="16540222" w14:textId="77777777" w:rsidR="009F41DE" w:rsidRPr="008759DF" w:rsidRDefault="009F41DE" w:rsidP="00A25BF6"/>
        </w:tc>
      </w:tr>
      <w:tr w:rsidR="009F41DE" w:rsidRPr="00315B2F" w14:paraId="57668BD2" w14:textId="77777777" w:rsidTr="00A25BF6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2356E39C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9F41DE" w:rsidRPr="00315B2F" w14:paraId="19E694BA" w14:textId="77777777" w:rsidTr="00A25BF6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140EE151" w14:textId="77777777" w:rsidR="009F41DE" w:rsidRPr="00142E9B" w:rsidRDefault="009F41DE" w:rsidP="00F33EC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9F41DE" w:rsidRPr="00315B2F" w14:paraId="5AE70957" w14:textId="77777777" w:rsidTr="00A25BF6">
        <w:trPr>
          <w:trHeight w:val="566"/>
          <w:jc w:val="center"/>
        </w:trPr>
        <w:tc>
          <w:tcPr>
            <w:tcW w:w="2891" w:type="dxa"/>
            <w:vAlign w:val="center"/>
          </w:tcPr>
          <w:p w14:paraId="3DE4752B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006FC50C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422237DE" w14:textId="77777777" w:rsidTr="00A25BF6">
        <w:trPr>
          <w:trHeight w:val="878"/>
          <w:jc w:val="center"/>
        </w:trPr>
        <w:tc>
          <w:tcPr>
            <w:tcW w:w="2891" w:type="dxa"/>
            <w:vAlign w:val="center"/>
          </w:tcPr>
          <w:p w14:paraId="6C5E4058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76D7714B" w14:textId="77777777" w:rsidR="009F41DE" w:rsidRPr="00A31340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0A513328" w14:textId="77777777" w:rsidTr="00A25BF6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35C60F99" w14:textId="77777777" w:rsidR="009F41DE" w:rsidRPr="00F470B3" w:rsidRDefault="009F41DE" w:rsidP="00A25BF6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9F41DE" w:rsidRPr="00315B2F" w14:paraId="76815C0A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68243F7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51A30847" w14:textId="77777777" w:rsidR="009F41DE" w:rsidRPr="008759DF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313D9A82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5BB4DA1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441F0137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747E6D8C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49180FE7" w14:textId="77777777" w:rsidTr="00A25BF6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235D3070" w14:textId="77777777" w:rsidR="009F41DE" w:rsidRPr="00F470B3" w:rsidRDefault="009F41DE" w:rsidP="00A25BF6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9F41DE" w:rsidRPr="00315B2F" w14:paraId="37F51924" w14:textId="77777777" w:rsidTr="00A25BF6">
        <w:trPr>
          <w:trHeight w:val="1126"/>
          <w:jc w:val="center"/>
        </w:trPr>
        <w:tc>
          <w:tcPr>
            <w:tcW w:w="2891" w:type="dxa"/>
            <w:vAlign w:val="center"/>
          </w:tcPr>
          <w:p w14:paraId="3B26FB3E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618149B2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65FCB72B" w14:textId="77777777" w:rsidTr="00A25BF6">
        <w:trPr>
          <w:trHeight w:val="674"/>
          <w:jc w:val="center"/>
        </w:trPr>
        <w:tc>
          <w:tcPr>
            <w:tcW w:w="2891" w:type="dxa"/>
            <w:vAlign w:val="center"/>
          </w:tcPr>
          <w:p w14:paraId="50D24DFF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2F071A4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3E874206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563BDDFE" w14:textId="77777777" w:rsidTr="00A25BF6">
        <w:trPr>
          <w:trHeight w:val="4539"/>
          <w:jc w:val="center"/>
        </w:trPr>
        <w:tc>
          <w:tcPr>
            <w:tcW w:w="2891" w:type="dxa"/>
            <w:vAlign w:val="center"/>
          </w:tcPr>
          <w:p w14:paraId="2B0BE867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02DF93F5" w14:textId="77777777" w:rsidR="009F41DE" w:rsidRPr="009B1372" w:rsidRDefault="009F41DE" w:rsidP="00A25BF6">
            <w:pPr>
              <w:jc w:val="both"/>
              <w:rPr>
                <w:sz w:val="22"/>
                <w:szCs w:val="22"/>
              </w:rPr>
            </w:pPr>
          </w:p>
        </w:tc>
      </w:tr>
    </w:tbl>
    <w:p w14:paraId="51C037C2" w14:textId="77777777" w:rsidR="009F41DE" w:rsidRPr="00142E9B" w:rsidRDefault="009F41DE" w:rsidP="009F41DE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9F41DE" w:rsidRPr="00315B2F" w14:paraId="6C670B80" w14:textId="77777777" w:rsidTr="00A25BF6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5628003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579C3529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1EB04C2D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F41DE" w:rsidRPr="00315B2F" w14:paraId="23B2D26A" w14:textId="77777777" w:rsidTr="00A25BF6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310D55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C02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B824E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</w:p>
        </w:tc>
      </w:tr>
      <w:tr w:rsidR="009F41DE" w:rsidRPr="00315B2F" w14:paraId="5BF3EC0B" w14:textId="77777777" w:rsidTr="00A25BF6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3EEB7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646E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71A8BF01" w14:textId="77777777" w:rsidR="009F41DE" w:rsidRPr="008C27BE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AB1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316E06B5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650411B6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682869A7" w14:textId="77777777" w:rsidR="009F41DE" w:rsidRPr="007C4F50" w:rsidRDefault="009F41DE" w:rsidP="009F41DE">
            <w:pPr>
              <w:pStyle w:val="Paragrafoelenco"/>
              <w:numPr>
                <w:ilvl w:val="0"/>
                <w:numId w:val="24"/>
              </w:num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324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D465D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3431220C" w14:textId="77777777" w:rsidR="009F41DE" w:rsidRPr="00C40F5B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</w:tr>
      <w:tr w:rsidR="009F41DE" w:rsidRPr="00315B2F" w14:paraId="4F1BB751" w14:textId="77777777" w:rsidTr="00A25BF6">
        <w:trPr>
          <w:trHeight w:val="1230"/>
          <w:jc w:val="center"/>
        </w:trPr>
        <w:tc>
          <w:tcPr>
            <w:tcW w:w="2860" w:type="dxa"/>
            <w:vAlign w:val="center"/>
          </w:tcPr>
          <w:p w14:paraId="37B338FD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719E1753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CE0D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4F7AAF26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Pr="00315B2F">
              <w:rPr>
                <w:rFonts w:ascii="Garamond" w:hAnsi="Garamond"/>
                <w:i/>
              </w:rPr>
              <w:t xml:space="preserve"> </w:t>
            </w:r>
            <w:r>
              <w:rPr>
                <w:sz w:val="22"/>
                <w:szCs w:val="22"/>
              </w:rPr>
              <w:t>lezione frontale</w:t>
            </w:r>
          </w:p>
          <w:p w14:paraId="309E2A42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</w:p>
          <w:p w14:paraId="3EC7FD91" w14:textId="77777777" w:rsidR="009F41DE" w:rsidRDefault="009F41DE" w:rsidP="00A25BF6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</w:p>
          <w:p w14:paraId="19578A7B" w14:textId="77777777" w:rsidR="009F41DE" w:rsidRPr="00086799" w:rsidRDefault="009F41DE" w:rsidP="00A25BF6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 formativo</w:t>
            </w:r>
          </w:p>
          <w:p w14:paraId="4E684C40" w14:textId="77777777" w:rsidR="009F41DE" w:rsidRPr="00FA2C1A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FA2C1A">
              <w:rPr>
                <w:sz w:val="22"/>
                <w:szCs w:val="22"/>
              </w:rPr>
              <w:t xml:space="preserve">  </w:t>
            </w:r>
            <w:r w:rsidRPr="00FA2C1A">
              <w:rPr>
                <w:rFonts w:ascii="Garamond" w:hAnsi="Garamond"/>
              </w:rPr>
              <w:t>problem solving</w:t>
            </w:r>
          </w:p>
          <w:p w14:paraId="12421C9A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problem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00243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>□ alternanza</w:t>
            </w:r>
          </w:p>
          <w:p w14:paraId="51736E4D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545B4F05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simulazione – virtual Lab</w:t>
            </w:r>
          </w:p>
          <w:p w14:paraId="4DF364DB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0D7110EF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45A35F7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27922C60" w14:textId="77777777" w:rsidR="00F33EC1" w:rsidRDefault="00F33EC1" w:rsidP="00A25BF6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CLIL</w:t>
            </w:r>
          </w:p>
          <w:p w14:paraId="2DBD380B" w14:textId="77777777" w:rsidR="009F41DE" w:rsidRPr="00315B2F" w:rsidRDefault="009F41DE" w:rsidP="00053F7B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</w:t>
            </w:r>
            <w:r w:rsidR="00053F7B">
              <w:rPr>
                <w:rFonts w:ascii="Garamond" w:hAnsi="Garamond"/>
              </w:rPr>
              <w:t>Metodologie</w:t>
            </w:r>
            <w:r w:rsidR="008D7F97">
              <w:rPr>
                <w:rFonts w:ascii="Garamond" w:hAnsi="Garamond"/>
              </w:rPr>
              <w:t xml:space="preserve"> specifiche per i </w:t>
            </w:r>
            <w:r w:rsidR="00053F7B">
              <w:rPr>
                <w:rFonts w:ascii="Garamond" w:hAnsi="Garamond"/>
              </w:rPr>
              <w:t xml:space="preserve"> DSA</w:t>
            </w:r>
          </w:p>
        </w:tc>
      </w:tr>
      <w:tr w:rsidR="009F41DE" w:rsidRPr="00315B2F" w14:paraId="4C20DD38" w14:textId="77777777" w:rsidTr="00A25BF6">
        <w:trPr>
          <w:trHeight w:val="795"/>
          <w:jc w:val="center"/>
        </w:trPr>
        <w:tc>
          <w:tcPr>
            <w:tcW w:w="2860" w:type="dxa"/>
            <w:vAlign w:val="center"/>
          </w:tcPr>
          <w:p w14:paraId="7554768A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44547D59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7859AADA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023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ttrezzature di laboratorio </w:t>
            </w:r>
            <w:r>
              <w:rPr>
                <w:rFonts w:ascii="Garamond" w:hAnsi="Garamond"/>
              </w:rPr>
              <w:t xml:space="preserve">    </w:t>
            </w:r>
          </w:p>
          <w:p w14:paraId="4700EAC4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093B490F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426E6E7C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21916111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614590B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</w:p>
          <w:p w14:paraId="44CE41AE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 di apparati</w:t>
            </w:r>
          </w:p>
          <w:p w14:paraId="37BA91B2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virtual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41935" w14:textId="77777777" w:rsidR="009F41DE" w:rsidRPr="00141EE9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</w:p>
          <w:p w14:paraId="7FF7BAED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 di testo</w:t>
            </w:r>
          </w:p>
          <w:p w14:paraId="5DCB0A89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 ed e-book</w:t>
            </w:r>
          </w:p>
          <w:p w14:paraId="51600E19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 multimediali</w:t>
            </w:r>
          </w:p>
          <w:p w14:paraId="6D09B73C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 per calcolo elettronico</w:t>
            </w:r>
          </w:p>
          <w:p w14:paraId="28C7770E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072F0A1D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 tradiz. e/o elettronica</w:t>
            </w:r>
          </w:p>
          <w:p w14:paraId="32A3AC97" w14:textId="77777777" w:rsidR="009F41DE" w:rsidRPr="00315B2F" w:rsidRDefault="009F41DE" w:rsidP="00CE775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945CB3">
              <w:rPr>
                <w:rFonts w:ascii="Garamond" w:hAnsi="Garamond"/>
              </w:rPr>
              <w:t>Altro</w:t>
            </w:r>
            <w:r w:rsidR="00CE7750">
              <w:rPr>
                <w:rFonts w:ascii="Garamond" w:hAnsi="Garamond"/>
              </w:rPr>
              <w:t xml:space="preserve"> Strumenti specifici</w:t>
            </w:r>
            <w:r w:rsidR="00945CB3">
              <w:rPr>
                <w:rFonts w:ascii="Garamond" w:hAnsi="Garamond"/>
              </w:rPr>
              <w:t xml:space="preserve"> per i DSA</w:t>
            </w:r>
          </w:p>
        </w:tc>
      </w:tr>
      <w:tr w:rsidR="009F41DE" w:rsidRPr="00BE640A" w14:paraId="052105CF" w14:textId="77777777" w:rsidTr="00A25BF6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23D3884F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9F41DE" w:rsidRPr="00315B2F" w14:paraId="518892FA" w14:textId="77777777" w:rsidTr="00A25BF6">
        <w:trPr>
          <w:trHeight w:val="1459"/>
          <w:jc w:val="center"/>
        </w:trPr>
        <w:tc>
          <w:tcPr>
            <w:tcW w:w="2860" w:type="dxa"/>
            <w:vAlign w:val="center"/>
          </w:tcPr>
          <w:p w14:paraId="5EE89822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214A90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4436339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6E668B1C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6EF3AE26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156CE71C" w14:textId="77777777" w:rsidR="009F41DE" w:rsidRPr="00BF1495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0DEAE80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07D419A1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6EE7FB1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5498BE1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02C1EB5A" w14:textId="77777777" w:rsidR="009F41DE" w:rsidRPr="00315B2F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E917E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00D078A7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58B15C08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La rubrica valutativa terrà conto dei seguenti livelli : </w:t>
            </w:r>
          </w:p>
          <w:p w14:paraId="2724960C" w14:textId="77777777" w:rsidR="00F33EC1" w:rsidRPr="00F33EC1" w:rsidRDefault="00F33EC1" w:rsidP="00F33EC1">
            <w:pPr>
              <w:rPr>
                <w:rFonts w:ascii="Garamond" w:hAnsi="Garamond"/>
              </w:rPr>
            </w:pPr>
          </w:p>
          <w:p w14:paraId="419D01F5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1)</w:t>
            </w:r>
            <w:r w:rsidRPr="00F33EC1">
              <w:rPr>
                <w:rFonts w:ascii="Garamond" w:hAnsi="Garamond"/>
                <w:b/>
                <w:bCs/>
              </w:rPr>
              <w:t xml:space="preserve">insufficiente da 1 a 4 </w:t>
            </w:r>
            <w:r w:rsidRPr="00F33EC1">
              <w:rPr>
                <w:rFonts w:ascii="Garamond" w:hAnsi="Garamond"/>
              </w:rPr>
              <w:t>: conoscenze e competenze minime non acquisite.</w:t>
            </w:r>
          </w:p>
          <w:p w14:paraId="3F60E54D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2) </w:t>
            </w:r>
            <w:r w:rsidRPr="00F33EC1">
              <w:rPr>
                <w:rFonts w:ascii="Garamond" w:hAnsi="Garamond"/>
                <w:b/>
                <w:bCs/>
              </w:rPr>
              <w:t>base da 5 a 6:</w:t>
            </w:r>
            <w:r w:rsidRPr="00F33EC1">
              <w:rPr>
                <w:rFonts w:ascii="Garamond" w:hAnsi="Garamond"/>
              </w:rPr>
              <w:t xml:space="preserve"> lo studente svolge compiti semplici in situazioni note, mostrando di possedere conoscenze ed abilità essenziali e di saper applicare regole e procedure fondamentali.</w:t>
            </w:r>
          </w:p>
          <w:p w14:paraId="034997E3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3)</w:t>
            </w:r>
            <w:r w:rsidRPr="00F33EC1">
              <w:rPr>
                <w:rFonts w:ascii="Garamond" w:hAnsi="Garamond"/>
                <w:b/>
                <w:bCs/>
              </w:rPr>
              <w:t>intermedio da 7 a 8:</w:t>
            </w:r>
            <w:r w:rsidRPr="00F33EC1">
              <w:rPr>
                <w:rFonts w:ascii="Garamond" w:hAnsi="Garamond"/>
              </w:rPr>
              <w:t xml:space="preserve"> lo studente svolge compiti e risolve problemi complessi in situazioni note, compie scelte consapevoli, mostrando di saper utilizzare le conoscenze e le abilità acquisite.</w:t>
            </w:r>
          </w:p>
          <w:p w14:paraId="39549BEF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4</w:t>
            </w:r>
            <w:r w:rsidRPr="00F33EC1">
              <w:rPr>
                <w:rFonts w:ascii="Garamond" w:hAnsi="Garamond"/>
                <w:b/>
                <w:bCs/>
              </w:rPr>
              <w:t xml:space="preserve">)   avanzato da 9 a 10 </w:t>
            </w:r>
            <w:r w:rsidRPr="00F33EC1">
              <w:rPr>
                <w:rFonts w:ascii="Garamond" w:hAnsi="Garamond"/>
              </w:rPr>
              <w:t xml:space="preserve">: lo studente svolge compiti e problemi complessi in situazioni anche non note,          </w:t>
            </w:r>
            <w:r w:rsidRPr="00F33EC1">
              <w:rPr>
                <w:rFonts w:ascii="Garamond" w:hAnsi="Garamond"/>
              </w:rPr>
              <w:lastRenderedPageBreak/>
              <w:t>mostrando  padronanza nell’uso delle conoscenze e delle abilità. Sa proporre e sostenere le proprie opinioni e assumere autonomamente decisioni consapevoli.</w:t>
            </w:r>
          </w:p>
          <w:p w14:paraId="7DEEE9B4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43373463" w14:textId="77777777" w:rsidTr="00A25BF6">
        <w:trPr>
          <w:trHeight w:val="843"/>
          <w:jc w:val="center"/>
        </w:trPr>
        <w:tc>
          <w:tcPr>
            <w:tcW w:w="2860" w:type="dxa"/>
            <w:vAlign w:val="center"/>
          </w:tcPr>
          <w:p w14:paraId="7F7B72EF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D2A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strutturata</w:t>
            </w:r>
          </w:p>
          <w:p w14:paraId="01D2854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prova </w:t>
            </w:r>
            <w:r>
              <w:rPr>
                <w:rFonts w:ascii="Garamond" w:hAnsi="Garamond"/>
              </w:rPr>
              <w:t>semistrutturata</w:t>
            </w:r>
          </w:p>
          <w:p w14:paraId="04504A5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1740B903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2906648D" w14:textId="77777777" w:rsidR="009F41DE" w:rsidRPr="00BF1495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754C2FDA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06D4B05A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287E2904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0AF83A66" w14:textId="77777777" w:rsidR="009F41DE" w:rsidRPr="00315B2F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51A84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7941528C" w14:textId="77777777" w:rsidTr="00A25BF6">
        <w:trPr>
          <w:trHeight w:val="416"/>
          <w:jc w:val="center"/>
        </w:trPr>
        <w:tc>
          <w:tcPr>
            <w:tcW w:w="2860" w:type="dxa"/>
            <w:vAlign w:val="center"/>
          </w:tcPr>
          <w:p w14:paraId="37E18C50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0A470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1DE" w:rsidRPr="00315B2F" w14:paraId="3DCEF012" w14:textId="77777777" w:rsidTr="00A25BF6">
        <w:trPr>
          <w:trHeight w:val="701"/>
          <w:jc w:val="center"/>
        </w:trPr>
        <w:tc>
          <w:tcPr>
            <w:tcW w:w="2860" w:type="dxa"/>
            <w:vAlign w:val="center"/>
          </w:tcPr>
          <w:p w14:paraId="5A08BA58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Azioni di recupero ed  approfondimento</w:t>
            </w:r>
          </w:p>
        </w:tc>
        <w:tc>
          <w:tcPr>
            <w:tcW w:w="7457" w:type="dxa"/>
            <w:gridSpan w:val="9"/>
            <w:vAlign w:val="center"/>
          </w:tcPr>
          <w:p w14:paraId="1BE1BAFB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6DCC7EB" w14:textId="77777777" w:rsidR="009F41DE" w:rsidRPr="00037CC3" w:rsidRDefault="009F41DE" w:rsidP="009F41DE">
      <w:pPr>
        <w:rPr>
          <w:rFonts w:ascii="Garamond" w:hAnsi="Garamond"/>
          <w:b/>
          <w:bCs/>
          <w:sz w:val="2"/>
          <w:szCs w:val="2"/>
        </w:rPr>
      </w:pPr>
    </w:p>
    <w:p w14:paraId="1EEE52FF" w14:textId="77777777" w:rsidR="00C05B79" w:rsidRDefault="00C05B79" w:rsidP="0088595D">
      <w:pPr>
        <w:jc w:val="center"/>
        <w:rPr>
          <w:rFonts w:ascii="Garamond" w:hAnsi="Garamond"/>
          <w:b/>
        </w:rPr>
      </w:pPr>
    </w:p>
    <w:sectPr w:rsidR="00C05B79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B561" w14:textId="77777777" w:rsidR="00506B53" w:rsidRDefault="00506B53">
      <w:r>
        <w:separator/>
      </w:r>
    </w:p>
  </w:endnote>
  <w:endnote w:type="continuationSeparator" w:id="0">
    <w:p w14:paraId="25B6A280" w14:textId="77777777" w:rsidR="00506B53" w:rsidRDefault="0050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3FF2" w14:textId="77777777" w:rsidR="002E0768" w:rsidRDefault="002E07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CE65" w14:textId="77777777" w:rsidR="002E0768" w:rsidRDefault="002E07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2072" w14:textId="77777777" w:rsidR="002E0768" w:rsidRDefault="002E07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532" w14:textId="77777777" w:rsidR="00506B53" w:rsidRDefault="00506B53">
      <w:r>
        <w:separator/>
      </w:r>
    </w:p>
  </w:footnote>
  <w:footnote w:type="continuationSeparator" w:id="0">
    <w:p w14:paraId="1BB6AFB8" w14:textId="77777777" w:rsidR="00506B53" w:rsidRDefault="0050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6F7A" w14:textId="77777777" w:rsidR="002E0768" w:rsidRDefault="002E07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A40F" w14:textId="77777777" w:rsidR="002E0768" w:rsidRDefault="002E07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44277D8C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3BA64F80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492CD0B9" wp14:editId="57501290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7644B02C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26DA51A3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3A083D8D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692E0DF5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945CB3" w:rsidRPr="00BE62A1" w14:paraId="16082052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207AA7B1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>MOD  7.3</w:t>
          </w:r>
          <w:r w:rsidR="002E0768">
            <w:rPr>
              <w:rFonts w:ascii="Garamond" w:eastAsia="Calibri" w:hAnsi="Garamond"/>
              <w:spacing w:val="20"/>
            </w:rPr>
            <w:t>_5</w:t>
          </w:r>
        </w:p>
      </w:tc>
      <w:tc>
        <w:tcPr>
          <w:tcW w:w="3280" w:type="dxa"/>
          <w:shd w:val="clear" w:color="auto" w:fill="auto"/>
          <w:vAlign w:val="center"/>
        </w:tcPr>
        <w:p w14:paraId="1C800419" w14:textId="06FE5E28" w:rsidR="00945CB3" w:rsidRPr="00061EBB" w:rsidRDefault="003401F5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3401F5">
            <w:rPr>
              <w:rFonts w:ascii="Garamond" w:eastAsia="Calibri" w:hAnsi="Garamond"/>
              <w:spacing w:val="20"/>
            </w:rPr>
            <w:t>Ed. 1 Rev.3 del 01/09/17</w:t>
          </w:r>
          <w:bookmarkStart w:id="0" w:name="_GoBack"/>
          <w:bookmarkEnd w:id="0"/>
        </w:p>
      </w:tc>
      <w:tc>
        <w:tcPr>
          <w:tcW w:w="2444" w:type="dxa"/>
          <w:shd w:val="clear" w:color="auto" w:fill="auto"/>
          <w:vAlign w:val="center"/>
        </w:tcPr>
        <w:p w14:paraId="762A01E7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4497FE6B" w14:textId="072E1FE4" w:rsidR="00945CB3" w:rsidRPr="00FA2C1A" w:rsidRDefault="00945CB3" w:rsidP="00945C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3401F5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3401F5">
            <w:rPr>
              <w:rFonts w:ascii="Courier New" w:eastAsia="Calibri" w:hAnsi="Courier New"/>
              <w:noProof/>
              <w:spacing w:val="20"/>
            </w:rPr>
            <w:t>3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50CCAE46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1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E11EF"/>
    <w:rsid w:val="001078E9"/>
    <w:rsid w:val="00112AE1"/>
    <w:rsid w:val="00132EFD"/>
    <w:rsid w:val="00141EE9"/>
    <w:rsid w:val="0014560C"/>
    <w:rsid w:val="00145CEA"/>
    <w:rsid w:val="00147EF6"/>
    <w:rsid w:val="00185FCB"/>
    <w:rsid w:val="001A275F"/>
    <w:rsid w:val="002008D6"/>
    <w:rsid w:val="00203595"/>
    <w:rsid w:val="00241D0E"/>
    <w:rsid w:val="00256240"/>
    <w:rsid w:val="00280082"/>
    <w:rsid w:val="002A0054"/>
    <w:rsid w:val="002A3912"/>
    <w:rsid w:val="002B7364"/>
    <w:rsid w:val="002D1E9F"/>
    <w:rsid w:val="002D4E64"/>
    <w:rsid w:val="002E0768"/>
    <w:rsid w:val="003061EC"/>
    <w:rsid w:val="00315B2F"/>
    <w:rsid w:val="00317417"/>
    <w:rsid w:val="0032257A"/>
    <w:rsid w:val="0032603B"/>
    <w:rsid w:val="003401F5"/>
    <w:rsid w:val="00350EF9"/>
    <w:rsid w:val="00390166"/>
    <w:rsid w:val="003A577E"/>
    <w:rsid w:val="003A790C"/>
    <w:rsid w:val="00400BCA"/>
    <w:rsid w:val="00454442"/>
    <w:rsid w:val="004630E1"/>
    <w:rsid w:val="004811E7"/>
    <w:rsid w:val="004958F6"/>
    <w:rsid w:val="00506B53"/>
    <w:rsid w:val="00586FDF"/>
    <w:rsid w:val="005B213C"/>
    <w:rsid w:val="0060702A"/>
    <w:rsid w:val="006346BC"/>
    <w:rsid w:val="00660AF0"/>
    <w:rsid w:val="006724E5"/>
    <w:rsid w:val="00697CC4"/>
    <w:rsid w:val="007920BB"/>
    <w:rsid w:val="007C4960"/>
    <w:rsid w:val="007C58D9"/>
    <w:rsid w:val="007C7E3B"/>
    <w:rsid w:val="00816258"/>
    <w:rsid w:val="00857D65"/>
    <w:rsid w:val="0088595D"/>
    <w:rsid w:val="00885DF7"/>
    <w:rsid w:val="008B179C"/>
    <w:rsid w:val="008B7DB3"/>
    <w:rsid w:val="008D7F97"/>
    <w:rsid w:val="008E1C3C"/>
    <w:rsid w:val="008F5B93"/>
    <w:rsid w:val="00945CB3"/>
    <w:rsid w:val="009B1372"/>
    <w:rsid w:val="009D3CC3"/>
    <w:rsid w:val="009D5244"/>
    <w:rsid w:val="009F41DE"/>
    <w:rsid w:val="00A31340"/>
    <w:rsid w:val="00A338C0"/>
    <w:rsid w:val="00A83C35"/>
    <w:rsid w:val="00AA4A7C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E7750"/>
    <w:rsid w:val="00D15615"/>
    <w:rsid w:val="00D261BB"/>
    <w:rsid w:val="00D43455"/>
    <w:rsid w:val="00D94449"/>
    <w:rsid w:val="00DB2445"/>
    <w:rsid w:val="00DD79EA"/>
    <w:rsid w:val="00DE13DB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33EC1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10ED5A"/>
  <w15:docId w15:val="{D7909C94-FF8E-4973-B013-721DA830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70"/>
    </w:pPr>
  </w:style>
  <w:style w:type="paragraph" w:styleId="Rientrocorpodeltesto2">
    <w:name w:val="Body Text Indent 2"/>
    <w:basedOn w:val="Normale"/>
    <w:semiHidden/>
    <w:pPr>
      <w:ind w:left="530"/>
      <w:jc w:val="both"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carmela rapisarda</cp:lastModifiedBy>
  <cp:revision>3</cp:revision>
  <cp:lastPrinted>2013-11-04T10:18:00Z</cp:lastPrinted>
  <dcterms:created xsi:type="dcterms:W3CDTF">2019-09-08T15:32:00Z</dcterms:created>
  <dcterms:modified xsi:type="dcterms:W3CDTF">2019-09-08T15:38:00Z</dcterms:modified>
</cp:coreProperties>
</file>